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BFC4" w14:textId="7F7F5D33" w:rsidR="003D2684" w:rsidRDefault="00275B48" w:rsidP="00E75BF3">
      <w:pPr>
        <w:pStyle w:val="Ttulo1"/>
        <w:shd w:val="clear" w:color="auto" w:fill="FFFFFF"/>
        <w:spacing w:before="0" w:beforeAutospacing="0" w:after="150" w:afterAutospacing="0"/>
        <w:ind w:right="-994"/>
        <w:jc w:val="both"/>
        <w:rPr>
          <w:rFonts w:asciiTheme="minorHAnsi" w:hAnsiTheme="minorHAnsi" w:cstheme="minorHAnsi"/>
          <w:caps/>
          <w:sz w:val="24"/>
          <w:szCs w:val="24"/>
        </w:rPr>
      </w:pPr>
      <w:r w:rsidRPr="000C6903">
        <w:rPr>
          <w:rFonts w:asciiTheme="minorHAnsi" w:hAnsiTheme="minorHAnsi" w:cstheme="minorHAnsi"/>
          <w:caps/>
          <w:sz w:val="24"/>
          <w:szCs w:val="24"/>
        </w:rPr>
        <w:t>10</w:t>
      </w:r>
      <w:r w:rsidR="003D2684">
        <w:rPr>
          <w:rFonts w:asciiTheme="minorHAnsi" w:hAnsiTheme="minorHAnsi" w:cstheme="minorHAnsi"/>
          <w:caps/>
          <w:sz w:val="24"/>
          <w:szCs w:val="24"/>
        </w:rPr>
        <w:t>6</w:t>
      </w:r>
      <w:r w:rsidR="001F6D05">
        <w:rPr>
          <w:rFonts w:asciiTheme="minorHAnsi" w:hAnsiTheme="minorHAnsi" w:cstheme="minorHAnsi"/>
          <w:caps/>
          <w:sz w:val="24"/>
          <w:szCs w:val="24"/>
        </w:rPr>
        <w:t>6</w:t>
      </w:r>
      <w:r w:rsidRPr="000C6903">
        <w:rPr>
          <w:rFonts w:asciiTheme="minorHAnsi" w:hAnsiTheme="minorHAnsi" w:cstheme="minorHAnsi"/>
          <w:caps/>
          <w:sz w:val="24"/>
          <w:szCs w:val="24"/>
        </w:rPr>
        <w:t xml:space="preserve">. </w:t>
      </w:r>
      <w:r w:rsidR="001F6D05" w:rsidRPr="001F6D05">
        <w:rPr>
          <w:rFonts w:asciiTheme="minorHAnsi" w:hAnsiTheme="minorHAnsi" w:cstheme="minorHAnsi"/>
          <w:caps/>
          <w:sz w:val="24"/>
          <w:szCs w:val="24"/>
        </w:rPr>
        <w:t>Lista de evaluación, memoria o informe justificativo, en los que deben constar los motivos que justifican la aprobación de los proyectos, así como los informes y dictámenes generados en la tramitación del procedimiento de elaboración.</w:t>
      </w:r>
    </w:p>
    <w:p w14:paraId="3AC1176F" w14:textId="77777777" w:rsidR="005761B2" w:rsidRPr="005761B2" w:rsidRDefault="005761B2" w:rsidP="005761B2">
      <w:pPr>
        <w:spacing w:after="0" w:line="240" w:lineRule="auto"/>
        <w:rPr>
          <w:rFonts w:eastAsia="NSimSun" w:cs="Calibri"/>
          <w:kern w:val="3"/>
          <w:sz w:val="18"/>
          <w:szCs w:val="18"/>
          <w:lang w:eastAsia="zh-CN" w:bidi="hi-IN"/>
        </w:rPr>
      </w:pPr>
      <w:r w:rsidRPr="005761B2">
        <w:rPr>
          <w:rFonts w:eastAsia="NSimSun" w:cs="Calibri"/>
          <w:b/>
          <w:bCs/>
          <w:kern w:val="3"/>
          <w:sz w:val="18"/>
          <w:szCs w:val="18"/>
          <w:lang w:eastAsia="zh-CN" w:bidi="hi-IN"/>
        </w:rPr>
        <w:t>2025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3260"/>
      </w:tblGrid>
      <w:tr w:rsidR="005761B2" w:rsidRPr="005761B2" w14:paraId="161C4BB8" w14:textId="77777777" w:rsidTr="004378FF">
        <w:trPr>
          <w:trHeight w:val="45"/>
          <w:tblCellSpacing w:w="0" w:type="dxa"/>
        </w:trPr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CC362" w14:textId="77777777" w:rsidR="005761B2" w:rsidRPr="005761B2" w:rsidRDefault="005761B2" w:rsidP="005761B2">
            <w:pPr>
              <w:suppressAutoHyphens w:val="0"/>
              <w:spacing w:before="100" w:after="100" w:line="240" w:lineRule="auto"/>
              <w:jc w:val="center"/>
              <w:textAlignment w:val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5761B2">
              <w:rPr>
                <w:rFonts w:eastAsia="Times New Roman" w:cs="Calibri"/>
                <w:b/>
                <w:bCs/>
                <w:sz w:val="14"/>
                <w:szCs w:val="14"/>
                <w:lang w:eastAsia="es-ES"/>
              </w:rPr>
              <w:t>DENOMINACIÓN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05A13" w14:textId="77777777" w:rsidR="005761B2" w:rsidRPr="005761B2" w:rsidRDefault="005761B2" w:rsidP="005761B2">
            <w:pPr>
              <w:suppressAutoHyphens w:val="0"/>
              <w:spacing w:before="100" w:after="10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14"/>
                <w:szCs w:val="14"/>
                <w:lang w:eastAsia="es-ES"/>
              </w:rPr>
            </w:pPr>
            <w:r w:rsidRPr="005761B2">
              <w:rPr>
                <w:rFonts w:eastAsia="Times New Roman" w:cs="Calibri"/>
                <w:b/>
                <w:bCs/>
                <w:sz w:val="14"/>
                <w:szCs w:val="14"/>
                <w:lang w:eastAsia="es-ES"/>
              </w:rPr>
              <w:t>INFORME JUSTIFICATIVO</w:t>
            </w:r>
          </w:p>
        </w:tc>
      </w:tr>
      <w:tr w:rsidR="005761B2" w:rsidRPr="005761B2" w14:paraId="1678FF97" w14:textId="77777777" w:rsidTr="004378FF">
        <w:trPr>
          <w:trHeight w:val="255"/>
          <w:tblCellSpacing w:w="0" w:type="dxa"/>
        </w:trPr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189E4" w14:textId="77777777" w:rsidR="005761B2" w:rsidRPr="005761B2" w:rsidRDefault="005761B2" w:rsidP="005761B2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5761B2">
              <w:rPr>
                <w:rFonts w:eastAsia="Times New Roman" w:cs="Calibri"/>
                <w:sz w:val="14"/>
                <w:szCs w:val="14"/>
                <w:lang w:eastAsia="es-ES"/>
              </w:rPr>
              <w:t>Modificación de la Ordenanza Fiscal n.º 6, reguladora de la tasa por la prestación del servicio de recogida, transporte y tratamiento de residuos.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A214B" w14:textId="77777777" w:rsidR="00FD0F0C" w:rsidRDefault="00FD0F0C" w:rsidP="005761B2">
            <w:pPr>
              <w:spacing w:after="0" w:line="240" w:lineRule="auto"/>
              <w:ind w:left="123"/>
              <w:jc w:val="center"/>
              <w:rPr>
                <w:rFonts w:eastAsia="NSimSun" w:cs="Calibri"/>
                <w:kern w:val="3"/>
                <w:sz w:val="14"/>
                <w:szCs w:val="14"/>
                <w:lang w:eastAsia="zh-CN" w:bidi="hi-IN"/>
              </w:rPr>
            </w:pPr>
          </w:p>
          <w:p w14:paraId="56E427D9" w14:textId="356227A5" w:rsidR="005761B2" w:rsidRDefault="00FD0F0C" w:rsidP="005761B2">
            <w:pPr>
              <w:spacing w:after="0" w:line="240" w:lineRule="auto"/>
              <w:ind w:left="123"/>
              <w:jc w:val="center"/>
              <w:rPr>
                <w:rFonts w:eastAsia="NSimSun" w:cs="Calibri"/>
                <w:kern w:val="3"/>
                <w:sz w:val="14"/>
                <w:szCs w:val="14"/>
                <w:lang w:eastAsia="zh-CN" w:bidi="hi-IN"/>
              </w:rPr>
            </w:pPr>
            <w:hyperlink r:id="rId7" w:history="1">
              <w:r w:rsidRPr="00D978AD">
                <w:rPr>
                  <w:rStyle w:val="Hipervnculo"/>
                  <w:rFonts w:eastAsia="NSimSun" w:cs="Calibri"/>
                  <w:kern w:val="3"/>
                  <w:sz w:val="14"/>
                  <w:szCs w:val="14"/>
                  <w:lang w:eastAsia="zh-CN" w:bidi="hi-IN"/>
                </w:rPr>
                <w:t>https://sede.santacruzdelapalma.es/home</w:t>
              </w:r>
            </w:hyperlink>
          </w:p>
          <w:p w14:paraId="2863C493" w14:textId="67078E19" w:rsidR="00FD0F0C" w:rsidRPr="005761B2" w:rsidRDefault="00FD0F0C" w:rsidP="005761B2">
            <w:pPr>
              <w:spacing w:after="0" w:line="240" w:lineRule="auto"/>
              <w:ind w:left="123"/>
              <w:jc w:val="center"/>
              <w:rPr>
                <w:rFonts w:eastAsia="NSimSun" w:cs="Calibri"/>
                <w:kern w:val="3"/>
                <w:sz w:val="14"/>
                <w:szCs w:val="14"/>
                <w:lang w:eastAsia="zh-CN" w:bidi="hi-IN"/>
              </w:rPr>
            </w:pPr>
          </w:p>
        </w:tc>
      </w:tr>
      <w:tr w:rsidR="005761B2" w:rsidRPr="005761B2" w14:paraId="10168B37" w14:textId="77777777" w:rsidTr="004378FF">
        <w:trPr>
          <w:trHeight w:val="255"/>
          <w:tblCellSpacing w:w="0" w:type="dxa"/>
        </w:trPr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20292" w14:textId="77777777" w:rsidR="005761B2" w:rsidRPr="005761B2" w:rsidRDefault="005761B2" w:rsidP="005761B2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5761B2">
              <w:rPr>
                <w:rFonts w:eastAsia="Times New Roman" w:cs="Calibri"/>
                <w:sz w:val="14"/>
                <w:szCs w:val="14"/>
                <w:lang w:eastAsia="es-ES"/>
              </w:rPr>
              <w:t>Modificación de la Ordenanza Reguladora de la Concesión de Prestaciones Sociales Económicas del Excmo. Ayuntamiento de Santa Cruz de La Palma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97626" w14:textId="0839D2BD" w:rsidR="005761B2" w:rsidRPr="005761B2" w:rsidRDefault="005761B2" w:rsidP="005761B2">
            <w:pPr>
              <w:spacing w:after="0" w:line="240" w:lineRule="auto"/>
              <w:ind w:left="123"/>
              <w:jc w:val="center"/>
              <w:rPr>
                <w:rFonts w:eastAsia="NSimSun" w:cs="Calibri"/>
                <w:kern w:val="3"/>
                <w:sz w:val="14"/>
                <w:szCs w:val="14"/>
                <w:lang w:eastAsia="zh-CN" w:bidi="hi-IN"/>
              </w:rPr>
            </w:pPr>
            <w:hyperlink r:id="rId8" w:history="1">
              <w:r w:rsidRPr="00525FC3">
                <w:rPr>
                  <w:rStyle w:val="Hipervnculo"/>
                  <w:rFonts w:eastAsia="NSimSun" w:cs="Calibri"/>
                  <w:kern w:val="3"/>
                  <w:sz w:val="14"/>
                  <w:szCs w:val="14"/>
                  <w:lang w:eastAsia="zh-CN" w:bidi="hi-IN"/>
                </w:rPr>
                <w:t>INFORME JURÍDICO</w:t>
              </w:r>
            </w:hyperlink>
          </w:p>
        </w:tc>
      </w:tr>
    </w:tbl>
    <w:p w14:paraId="2099B78F" w14:textId="77777777" w:rsidR="006C7A8E" w:rsidRDefault="006C7A8E" w:rsidP="006C7A8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6C7A8E">
      <w:head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8007" w14:textId="77777777" w:rsidR="00B916A7" w:rsidRDefault="00B916A7">
      <w:pPr>
        <w:spacing w:after="0" w:line="240" w:lineRule="auto"/>
      </w:pPr>
      <w:r>
        <w:separator/>
      </w:r>
    </w:p>
  </w:endnote>
  <w:endnote w:type="continuationSeparator" w:id="0">
    <w:p w14:paraId="544941C0" w14:textId="77777777" w:rsidR="00B916A7" w:rsidRDefault="00B9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D7A2" w14:textId="77777777" w:rsidR="00B916A7" w:rsidRDefault="00B916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62A5CE" w14:textId="77777777" w:rsidR="00B916A7" w:rsidRDefault="00B9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6B9A" w14:textId="0CCCB02E" w:rsidR="000C6903" w:rsidRDefault="000C6903">
    <w:pPr>
      <w:pStyle w:val="Encabezado"/>
    </w:pPr>
    <w:r>
      <w:rPr>
        <w:noProof/>
      </w:rPr>
      <w:drawing>
        <wp:inline distT="0" distB="0" distL="0" distR="0" wp14:anchorId="238F83C5" wp14:editId="53BED2BD">
          <wp:extent cx="1476371" cy="895353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1" cy="8953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CBD2CDE" w14:textId="77777777" w:rsidR="00133900" w:rsidRDefault="001339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F48"/>
    <w:multiLevelType w:val="multilevel"/>
    <w:tmpl w:val="46187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822B4"/>
    <w:multiLevelType w:val="multilevel"/>
    <w:tmpl w:val="1556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B5338"/>
    <w:multiLevelType w:val="multilevel"/>
    <w:tmpl w:val="A056B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47767"/>
    <w:multiLevelType w:val="multilevel"/>
    <w:tmpl w:val="DAF23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30361"/>
    <w:multiLevelType w:val="multilevel"/>
    <w:tmpl w:val="BCCE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9402F"/>
    <w:multiLevelType w:val="multilevel"/>
    <w:tmpl w:val="FB50B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A615D"/>
    <w:multiLevelType w:val="multilevel"/>
    <w:tmpl w:val="FA36A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D0AF6"/>
    <w:multiLevelType w:val="multilevel"/>
    <w:tmpl w:val="7B9A2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649486">
    <w:abstractNumId w:val="3"/>
  </w:num>
  <w:num w:numId="2" w16cid:durableId="1716930160">
    <w:abstractNumId w:val="2"/>
  </w:num>
  <w:num w:numId="3" w16cid:durableId="24404513">
    <w:abstractNumId w:val="7"/>
  </w:num>
  <w:num w:numId="4" w16cid:durableId="722145561">
    <w:abstractNumId w:val="4"/>
  </w:num>
  <w:num w:numId="5" w16cid:durableId="496582116">
    <w:abstractNumId w:val="0"/>
  </w:num>
  <w:num w:numId="6" w16cid:durableId="628173640">
    <w:abstractNumId w:val="1"/>
  </w:num>
  <w:num w:numId="7" w16cid:durableId="387610313">
    <w:abstractNumId w:val="5"/>
  </w:num>
  <w:num w:numId="8" w16cid:durableId="1205481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F2"/>
    <w:rsid w:val="00001B61"/>
    <w:rsid w:val="00052430"/>
    <w:rsid w:val="000A2FEB"/>
    <w:rsid w:val="000B0782"/>
    <w:rsid w:val="000C6903"/>
    <w:rsid w:val="000E1E87"/>
    <w:rsid w:val="001309F0"/>
    <w:rsid w:val="00133900"/>
    <w:rsid w:val="00150092"/>
    <w:rsid w:val="001C3030"/>
    <w:rsid w:val="001F6D05"/>
    <w:rsid w:val="00275B48"/>
    <w:rsid w:val="00294990"/>
    <w:rsid w:val="002C7E3D"/>
    <w:rsid w:val="002E2091"/>
    <w:rsid w:val="00317BF3"/>
    <w:rsid w:val="003402ED"/>
    <w:rsid w:val="003857E6"/>
    <w:rsid w:val="003D2684"/>
    <w:rsid w:val="004103AA"/>
    <w:rsid w:val="004720E7"/>
    <w:rsid w:val="005168EA"/>
    <w:rsid w:val="00525FC3"/>
    <w:rsid w:val="005761B2"/>
    <w:rsid w:val="0059779E"/>
    <w:rsid w:val="005D1BC4"/>
    <w:rsid w:val="005D2EC6"/>
    <w:rsid w:val="005E192E"/>
    <w:rsid w:val="005E5E8F"/>
    <w:rsid w:val="005F7BAC"/>
    <w:rsid w:val="0061360B"/>
    <w:rsid w:val="00662BE7"/>
    <w:rsid w:val="00663BD9"/>
    <w:rsid w:val="006700F2"/>
    <w:rsid w:val="006709D0"/>
    <w:rsid w:val="006B48FA"/>
    <w:rsid w:val="006C7A8E"/>
    <w:rsid w:val="00721534"/>
    <w:rsid w:val="00747F24"/>
    <w:rsid w:val="007C20B3"/>
    <w:rsid w:val="007C2EF9"/>
    <w:rsid w:val="00804583"/>
    <w:rsid w:val="008056ED"/>
    <w:rsid w:val="00870A29"/>
    <w:rsid w:val="008E7260"/>
    <w:rsid w:val="00915AAA"/>
    <w:rsid w:val="00997918"/>
    <w:rsid w:val="009B40CE"/>
    <w:rsid w:val="00A734E6"/>
    <w:rsid w:val="00AD7CCC"/>
    <w:rsid w:val="00B90070"/>
    <w:rsid w:val="00B916A7"/>
    <w:rsid w:val="00BA719D"/>
    <w:rsid w:val="00BD748F"/>
    <w:rsid w:val="00C37AFB"/>
    <w:rsid w:val="00CD7D50"/>
    <w:rsid w:val="00CE4FAE"/>
    <w:rsid w:val="00DF2F5F"/>
    <w:rsid w:val="00DF7B08"/>
    <w:rsid w:val="00E06D0C"/>
    <w:rsid w:val="00E46D25"/>
    <w:rsid w:val="00E7053F"/>
    <w:rsid w:val="00E75BF3"/>
    <w:rsid w:val="00EA4E19"/>
    <w:rsid w:val="00F014ED"/>
    <w:rsid w:val="00F174EC"/>
    <w:rsid w:val="00F47A01"/>
    <w:rsid w:val="00FB0798"/>
    <w:rsid w:val="00FD0F0C"/>
    <w:rsid w:val="00F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BBB6"/>
  <w15:docId w15:val="{E011DFBA-1901-4EE8-AF47-684F4F63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47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0E1E87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uiPriority w:val="99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E1E8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9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2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94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35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7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6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2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9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6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7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2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53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40948">
                          <w:marLeft w:val="92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147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5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67015">
                              <w:marLeft w:val="14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68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13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4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8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3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9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54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0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9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9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2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6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7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2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8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0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4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6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1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8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57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3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2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40775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43187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93367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256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488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74964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82018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8159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689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70252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3629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678334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4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4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6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8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7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6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1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34491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053249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943080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771198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134218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2498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065449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19068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56157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775031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6380">
                              <w:marLeft w:val="70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1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8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4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5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59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0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4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0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22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2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3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7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1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6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5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2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8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80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0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80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91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02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7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2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7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1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86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09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29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3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37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44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33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32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78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03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7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15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15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75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90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0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42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12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69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7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6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54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08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56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3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9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57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97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49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7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24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4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5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6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8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5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7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3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8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8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41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92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44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9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9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13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1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5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2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19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9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0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8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4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8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5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33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87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76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66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3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53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7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1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29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9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28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5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0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9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39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70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93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0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1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51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1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23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88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63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4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1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5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84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72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55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40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19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64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62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75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02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5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1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7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1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75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8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1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55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79954">
                              <w:marLeft w:val="-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56589">
                              <w:marLeft w:val="-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56781">
                              <w:marLeft w:val="-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0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73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7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1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6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8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24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1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9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0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8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95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7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6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2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0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7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9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8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066%20%20INFORME%20JURIDICO%20MOP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santacruzdelapalma.e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ownloads\1198.%20&#211;rgano%20competente%20en%20materia%20de%20derecho%20de%20acces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1198. Órgano competente en materia de derecho de acceso.dot</Template>
  <TotalTime>136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Rivares</dc:creator>
  <dc:description/>
  <cp:lastModifiedBy>Salvador Ortega Lopez</cp:lastModifiedBy>
  <cp:revision>18</cp:revision>
  <cp:lastPrinted>2025-06-18T07:07:00Z</cp:lastPrinted>
  <dcterms:created xsi:type="dcterms:W3CDTF">2022-08-02T09:16:00Z</dcterms:created>
  <dcterms:modified xsi:type="dcterms:W3CDTF">2026-03-17T08:42:00Z</dcterms:modified>
</cp:coreProperties>
</file>