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spacing w:before="0" w:after="0" w:line="384" w:lineRule="auto"/>
      </w:pPr>
      <w:r>
        <w:rPr/>
        <w:t xml:space="preserve">Santa Cruz de La Palma es un municipio y capital de la isla de La Palma, provincia de Santa Cruz de Tenerife, Islas Canarias. El municipio tiene una extensión de 43,38 km², con 4,03 km de longitud de costa y una población de 15.446 habitantes (INE, enero de 2021), de los cuales 15 000 residen en la ciudad y los demás en los barrios periféricos. El núcleo urbano se encuentra al nivel del mar, pero el territorio municipal se extiende hasta los 1800 m de altitud.</w:t>
      </w:r>
    </w:p>
    <w:p>
      <w:pPr>
        <w:pStyle w:val="Heading3"/>
      </w:pPr>
      <w:r>
        <w:rPr>
          <w:b w:val="1"/>
          <w:bCs w:val="1"/>
        </w:rPr>
        <w:t xml:space="preserve">Información Institucional, Histórica y Económica</w:t>
      </w:r>
    </w:p>
    <w:p>
      <w:pPr>
        <w:jc w:val="both"/>
        <w:spacing w:before="0" w:after="0" w:line="384" w:lineRule="auto"/>
      </w:pPr>
      <w:r>
        <w:rPr/>
        <w:t xml:space="preserve">Santa Cruz de La Palma, fue fundada el 3 de mayo de 1493 por Alonso Fernández de Lugo como "Villa del Apurón" sobre el antiguo cantón benahoarita de Tedote, y recibió su actual nombre por ser día de la Invención de la Santa Cruz. La Cueva de Carías, junto con la ermita de la Encarnación (funda hacia 1500), fueron los primeros focos de población cristiana y el primigenio concejo municipal.</w:t>
      </w:r>
    </w:p>
    <w:p>
      <w:pPr>
        <w:jc w:val="both"/>
        <w:spacing w:before="0" w:after="0" w:line="384" w:lineRule="auto"/>
      </w:pPr>
      <w:r>
        <w:rPr/>
        <w:t xml:space="preserve">Su ubicación como puerto natural en rutas hacia América propició el comercio de azúcar y vino, siendo su puerto se convirtió en un punto crucial para el comercio entre Europa y las colonias americanas. En el siglo XVI se convirtió en el tercer puerto más importante del imperio español, tras Sevilla y Amberes.</w:t>
      </w:r>
    </w:p>
    <w:p>
      <w:pPr>
        <w:jc w:val="both"/>
        <w:spacing w:before="0" w:after="0" w:line="384" w:lineRule="auto"/>
      </w:pPr>
      <w:r>
        <w:rPr/>
        <w:t xml:space="preserve">En 1558 se creó allí el primer Juzgado de Indias de Canarias, lo que obligaba a registrar los buques coloniales.</w:t>
      </w:r>
    </w:p>
    <w:p>
      <w:pPr>
        <w:jc w:val="both"/>
        <w:spacing w:before="0" w:after="0" w:line="384" w:lineRule="auto"/>
      </w:pPr>
      <w:r>
        <w:rPr/>
        <w:t xml:space="preserve">En 1553 el corsario francés François "Pata de Palo" Le Clerc saqueó y destruyó gran parte de la ciudad, provocando la construcción del Castillo de Santa Catalina y otras defensas costeras y en 1585 otro ataque, esta vez liderado por Francis Drake, fue repelido con éxito.</w:t>
      </w:r>
    </w:p>
    <w:p>
      <w:pPr>
        <w:jc w:val="both"/>
        <w:spacing w:before="0" w:after="0" w:line="384" w:lineRule="auto"/>
      </w:pPr>
      <w:r>
        <w:rPr/>
        <w:t xml:space="preserve">En 1773, tras un pleito promovido por Dionisio O’Daly y Anselmo Pérez de Brito, Santa Cruz de La Palma celebró las primeras elecciones municipales por sufragio popular en España, lo que la convierte en el primer ayuntamiento elegido democráticamente.</w:t>
      </w:r>
    </w:p>
    <w:p>
      <w:pPr>
        <w:jc w:val="both"/>
        <w:spacing w:before="0" w:after="0" w:line="384" w:lineRule="auto"/>
      </w:pPr>
      <w:r>
        <w:rPr/>
        <w:t xml:space="preserve">Durante el siglo XIX vivió su "edad de oro cultural": construcción naval, luz eléctrica pública (en 1893 la primera ciudad canaria con alumbrado) y tendido telefónico.</w:t>
      </w:r>
    </w:p>
    <w:p>
      <w:pPr>
        <w:jc w:val="both"/>
        <w:spacing w:before="0" w:after="0" w:line="384" w:lineRule="auto"/>
      </w:pPr>
      <w:r>
        <w:rPr/>
        <w:t xml:space="preserve">Santa Cruz de La Palma ha sido declarada Bien de Interés Cultural con categoría de Conjunto Histórico, reconociendo su valor patrimonial.</w:t>
      </w:r>
    </w:p>
    <w:p>
      <w:pPr>
        <w:jc w:val="both"/>
        <w:spacing w:before="0" w:after="0" w:line="384" w:lineRule="auto"/>
      </w:pPr>
      <w:r>
        <w:rPr/>
        <w:t xml:space="preserve">En la actualidad, el turismo juega un papel importante en la economía local, con visitantes atraídos por su casco histórico y belleza natural. Aunque el puerto sigue siendo relevante, la economía del municipio y de la isla se ha diversificado con el tiempo, incluyendo actividades como la agricultura, la pesca, el turismo y actividades comerciales.</w:t>
      </w:r>
    </w:p>
    <w:p>
      <w:pPr>
        <w:jc w:val="center"/>
        <w:spacing w:before="0" w:after="0"/>
      </w:pPr>
    </w:p>
    <w:p>
      <w:pPr>
        <w:pStyle w:val="Heading3"/>
      </w:pPr>
      <w:r>
        <w:rPr>
          <w:b w:val="1"/>
          <w:bCs w:val="1"/>
        </w:rPr>
        <w:t xml:space="preserve">Información padronal y social</w:t>
      </w:r>
    </w:p>
    <w:p>
      <w:pPr>
        <w:jc w:val="both"/>
        <w:spacing w:before="0" w:after="0" w:line="384" w:lineRule="auto"/>
      </w:pPr>
      <w:r>
        <w:rPr/>
        <w:t xml:space="preserve">La ciudad se encuentra situada en la vertiente oriental de la isla de La Palma, de cuyo Cabildo es capital, entre el Risco de la Concepción, en el borde de La Caldereta (antigua caldera volcánica), y el Barranco Seco. Parte de la ciudad y el puerto se ubican sobre el antiguo derrame de la lava de La Caldereta, enfriada bruscamente al romperse la parte de la pared que queda hacia el noreste, con lo que la lava llegó rápidamente al mar donde formó una colada basáltica. Goza durante todo el año de un clima suave si bien es habitual que su cielo esté cubierto por nubes debido a la influencia de los vientos alisios procedentes del océano Atlántico.</w:t>
      </w:r>
    </w:p>
    <w:p>
      <w:pPr>
        <w:jc w:val="both"/>
        <w:spacing w:before="0" w:after="0" w:line="384" w:lineRule="auto"/>
      </w:pPr>
      <w:r>
        <w:rPr/>
        <w:t xml:space="preserve">Los principales barrios son:</w:t>
      </w:r>
    </w:p>
    <w:p>
      <w:pPr>
        <w:numPr>
          <w:ilvl w:val="0"/>
          <w:numId w:val="1"/>
        </w:numPr>
      </w:pPr>
      <w:r>
        <w:rPr>
          <w:b w:val="1"/>
          <w:bCs w:val="1"/>
        </w:rPr>
        <w:t xml:space="preserve">Casco urbano:</w:t>
      </w:r>
      <w:r>
        <w:rPr/>
        <w:t xml:space="preserve"> La Luz, San Telmo, San Sebastián, El Puente, Benahoare, La Alameda, La Calle Real, El Pilar y El Marquito.</w:t>
      </w:r>
    </w:p>
    <w:p>
      <w:pPr>
        <w:numPr>
          <w:ilvl w:val="0"/>
          <w:numId w:val="1"/>
        </w:numPr>
      </w:pPr>
      <w:r>
        <w:rPr>
          <w:b w:val="1"/>
          <w:bCs w:val="1"/>
        </w:rPr>
        <w:t xml:space="preserve">Periferia:</w:t>
      </w:r>
      <w:r>
        <w:rPr/>
        <w:t xml:space="preserve"> Calsinas, Velhoco, Las Nieves, La Dehesa, La Encarnación, El Planto, El Carmen y Mirca.</w:t>
      </w:r>
    </w:p>
    <w:p>
      <w:pPr>
        <w:jc w:val="both"/>
        <w:spacing w:before="0" w:after="0" w:line="384" w:lineRule="auto"/>
      </w:pPr>
      <w:r>
        <w:rPr/>
        <w:t xml:space="preserve">Fue fundada el 3 de mayo de 1493 con el nombre de Villa de Apurón sobre una playa situada en una bahía que hacía de puerto natural. Posteriormente, y ya como Santa Cruz de La Palma, el rey Felipe II le concedería el título de Muy Noble y Leal. El municipio es actualmente el segundo más poblado de la isla de La Palma, tras Los Llanos de Aridane. En este municipio se encuentra la sede del Cabildo de La Palma (órgano de gobierno de la isla), así como de otras instituciones políticas, culturales y deportivas de importancia para la isla. En su término municipal se encuentra también el Real Santuario de la Virgen de las Nieves, patrona de La Palma.</w:t>
      </w:r>
    </w:p>
    <w:p>
      <w:pPr>
        <w:jc w:val="both"/>
        <w:spacing w:before="0" w:after="0" w:line="384" w:lineRule="auto"/>
      </w:pPr>
      <w:r>
        <w:rPr/>
        <w:t xml:space="preserve">La población de hecho que según las tablas que publica el Instituto Nacional de Estadística de 10 en 10 años, había el 1 de noviembre de 2011 ascendía a 16568 habitantes, 8061 hombres y 8508 mujeres.</w:t>
      </w:r>
    </w:p>
    <w:p>
      <w:pPr>
        <w:jc w:val="center"/>
        <w:spacing w:before="0" w:after="0"/>
      </w:pPr>
    </w:p>
    <w:p>
      <w:pPr>
        <w:jc w:val="start"/>
        <w:spacing w:before="0" w:after="0"/>
      </w:pPr>
      <w:r>
        <w:rPr>
          <w:b w:val="1"/>
          <w:bCs w:val="1"/>
        </w:rPr>
        <w:t xml:space="preserve">Cifras oficiales de población de los municipios españoles en aplicación de la Ley de Bases del Régimen Local (Art. 17)</w:t>
      </w:r>
    </w:p>
    <w:p>
      <w:pPr>
        <w:spacing w:before="0" w:after="0"/>
      </w:pPr>
      <w:r>
        <w:rPr/>
        <w:t xml:space="preserve">Detalle municipal. Santa Cruz de Tenerife: población por municipios y sexo. Unidades: personas.</w:t>
      </w:r>
    </w:p>
    <w:tbl>
      <w:tblGrid>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gridCol w:w="5000" w:type="dxa"/>
      </w:tblGrid>
      <w:tblPr>
        <w:tblW w:w="5000" w:type="pct"/>
        <w:tblLayout w:type="autofit"/>
        <w:bidiVisual w:val="0"/>
      </w:tblPr>
      <w:tr>
        <w:trPr>
          <w:tblHeader w:val="1"/>
        </w:trPr>
        <w:tc>
          <w:tcPr>
            <w:tcW w:w="5000" w:type="pct"/>
          </w:tcPr>
          <w:p>
            <w:pPr>
              <w:jc w:val="center"/>
            </w:pPr>
            <w:r>
              <w:rPr>
                <w:sz w:val="21"/>
                <w:szCs w:val="21"/>
                <w:b w:val="1"/>
                <w:bCs w:val="1"/>
              </w:rPr>
              <w:t xml:space="preserve">Municipio</w:t>
            </w:r>
          </w:p>
        </w:tc>
        <w:tc>
          <w:tcPr>
            <w:tcW w:w="5000" w:type="pct"/>
          </w:tcPr>
          <w:p>
            <w:pPr>
              <w:jc w:val="center"/>
            </w:pPr>
            <w:r>
              <w:rPr>
                <w:sz w:val="21"/>
                <w:szCs w:val="21"/>
                <w:b w:val="1"/>
                <w:bCs w:val="1"/>
              </w:rPr>
              <w:t xml:space="preserve">2025</w:t>
            </w:r>
          </w:p>
        </w:tc>
        <w:tc>
          <w:tcPr>
            <w:tcW w:w="5000" w:type="pct"/>
          </w:tcPr>
          <w:p>
            <w:pPr>
              <w:jc w:val="center"/>
            </w:pPr>
            <w:r>
              <w:rPr>
                <w:sz w:val="21"/>
                <w:szCs w:val="21"/>
                <w:b w:val="1"/>
                <w:bCs w:val="1"/>
              </w:rPr>
              <w:t xml:space="preserve">2024</w:t>
            </w:r>
          </w:p>
        </w:tc>
        <w:tc>
          <w:tcPr>
            <w:tcW w:w="5000" w:type="pct"/>
          </w:tcPr>
          <w:p>
            <w:pPr>
              <w:jc w:val="center"/>
            </w:pPr>
            <w:r>
              <w:rPr>
                <w:sz w:val="21"/>
                <w:szCs w:val="21"/>
                <w:b w:val="1"/>
                <w:bCs w:val="1"/>
              </w:rPr>
              <w:t xml:space="preserve">2023</w:t>
            </w:r>
          </w:p>
        </w:tc>
        <w:tc>
          <w:tcPr>
            <w:tcW w:w="5000" w:type="pct"/>
          </w:tcPr>
          <w:p>
            <w:pPr>
              <w:jc w:val="center"/>
            </w:pPr>
            <w:r>
              <w:rPr>
                <w:sz w:val="21"/>
                <w:szCs w:val="21"/>
                <w:b w:val="1"/>
                <w:bCs w:val="1"/>
              </w:rPr>
              <w:t xml:space="preserve">2022</w:t>
            </w:r>
          </w:p>
        </w:tc>
        <w:tc>
          <w:tcPr>
            <w:tcW w:w="5000" w:type="pct"/>
          </w:tcPr>
          <w:p>
            <w:pPr>
              <w:jc w:val="center"/>
            </w:pPr>
            <w:r>
              <w:rPr>
                <w:sz w:val="21"/>
                <w:szCs w:val="21"/>
                <w:b w:val="1"/>
                <w:bCs w:val="1"/>
              </w:rPr>
              <w:t xml:space="preserve">2021</w:t>
            </w:r>
          </w:p>
        </w:tc>
        <w:tc>
          <w:tcPr>
            <w:tcW w:w="5000" w:type="pct"/>
          </w:tcPr>
          <w:p>
            <w:pPr>
              <w:jc w:val="center"/>
            </w:pPr>
            <w:r>
              <w:rPr>
                <w:sz w:val="21"/>
                <w:szCs w:val="21"/>
                <w:b w:val="1"/>
                <w:bCs w:val="1"/>
              </w:rPr>
              <w:t xml:space="preserve">2020</w:t>
            </w:r>
          </w:p>
        </w:tc>
        <w:tc>
          <w:tcPr>
            <w:tcW w:w="5000" w:type="pct"/>
          </w:tcPr>
          <w:p>
            <w:pPr>
              <w:jc w:val="center"/>
            </w:pPr>
            <w:r>
              <w:rPr>
                <w:sz w:val="21"/>
                <w:szCs w:val="21"/>
                <w:b w:val="1"/>
                <w:bCs w:val="1"/>
              </w:rPr>
              <w:t xml:space="preserve">2019</w:t>
            </w:r>
          </w:p>
        </w:tc>
        <w:tc>
          <w:tcPr>
            <w:tcW w:w="5000" w:type="pct"/>
          </w:tcPr>
          <w:p>
            <w:pPr>
              <w:jc w:val="center"/>
            </w:pPr>
            <w:r>
              <w:rPr>
                <w:sz w:val="21"/>
                <w:szCs w:val="21"/>
                <w:b w:val="1"/>
                <w:bCs w:val="1"/>
              </w:rPr>
              <w:t xml:space="preserve">2018</w:t>
            </w:r>
          </w:p>
        </w:tc>
        <w:tc>
          <w:tcPr>
            <w:tcW w:w="5000" w:type="pct"/>
          </w:tcPr>
          <w:p>
            <w:pPr>
              <w:jc w:val="center"/>
            </w:pPr>
            <w:r>
              <w:rPr>
                <w:sz w:val="21"/>
                <w:szCs w:val="21"/>
                <w:b w:val="1"/>
                <w:bCs w:val="1"/>
              </w:rPr>
              <w:t xml:space="preserve">2017</w:t>
            </w:r>
          </w:p>
        </w:tc>
        <w:tc>
          <w:tcPr>
            <w:tcW w:w="5000" w:type="pct"/>
          </w:tcPr>
          <w:p>
            <w:pPr>
              <w:jc w:val="center"/>
            </w:pPr>
            <w:r>
              <w:rPr>
                <w:sz w:val="21"/>
                <w:szCs w:val="21"/>
                <w:b w:val="1"/>
                <w:bCs w:val="1"/>
              </w:rPr>
              <w:t xml:space="preserve">2016</w:t>
            </w:r>
          </w:p>
        </w:tc>
        <w:tc>
          <w:tcPr>
            <w:tcW w:w="5000" w:type="pct"/>
          </w:tcPr>
          <w:p>
            <w:pPr>
              <w:jc w:val="center"/>
            </w:pPr>
            <w:r>
              <w:rPr>
                <w:sz w:val="21"/>
                <w:szCs w:val="21"/>
                <w:b w:val="1"/>
                <w:bCs w:val="1"/>
              </w:rPr>
              <w:t xml:space="preserve">2015</w:t>
            </w:r>
          </w:p>
        </w:tc>
        <w:tc>
          <w:tcPr>
            <w:tcW w:w="5000" w:type="pct"/>
          </w:tcPr>
          <w:p>
            <w:pPr>
              <w:jc w:val="center"/>
            </w:pPr>
            <w:r>
              <w:rPr>
                <w:sz w:val="21"/>
                <w:szCs w:val="21"/>
                <w:b w:val="1"/>
                <w:bCs w:val="1"/>
              </w:rPr>
              <w:t xml:space="preserve">2014</w:t>
            </w:r>
          </w:p>
        </w:tc>
        <w:tc>
          <w:tcPr>
            <w:tcW w:w="5000" w:type="pct"/>
          </w:tcPr>
          <w:p>
            <w:pPr>
              <w:jc w:val="center"/>
            </w:pPr>
            <w:r>
              <w:rPr>
                <w:sz w:val="21"/>
                <w:szCs w:val="21"/>
                <w:b w:val="1"/>
                <w:bCs w:val="1"/>
              </w:rPr>
              <w:t xml:space="preserve">2013</w:t>
            </w:r>
          </w:p>
        </w:tc>
        <w:tc>
          <w:tcPr>
            <w:tcW w:w="5000" w:type="pct"/>
          </w:tcPr>
          <w:p>
            <w:pPr>
              <w:jc w:val="center"/>
            </w:pPr>
            <w:r>
              <w:rPr>
                <w:sz w:val="21"/>
                <w:szCs w:val="21"/>
                <w:b w:val="1"/>
                <w:bCs w:val="1"/>
              </w:rPr>
              <w:t xml:space="preserve">2012</w:t>
            </w:r>
          </w:p>
        </w:tc>
        <w:tc>
          <w:tcPr>
            <w:tcW w:w="5000" w:type="pct"/>
          </w:tcPr>
          <w:p>
            <w:pPr>
              <w:jc w:val="center"/>
            </w:pPr>
            <w:r>
              <w:rPr>
                <w:sz w:val="21"/>
                <w:szCs w:val="21"/>
                <w:b w:val="1"/>
                <w:bCs w:val="1"/>
              </w:rPr>
              <w:t xml:space="preserve">2011</w:t>
            </w:r>
          </w:p>
        </w:tc>
        <w:tc>
          <w:tcPr>
            <w:tcW w:w="5000" w:type="pct"/>
          </w:tcPr>
          <w:p>
            <w:pPr>
              <w:jc w:val="center"/>
            </w:pPr>
            <w:r>
              <w:rPr>
                <w:sz w:val="21"/>
                <w:szCs w:val="21"/>
                <w:b w:val="1"/>
                <w:bCs w:val="1"/>
              </w:rPr>
              <w:t xml:space="preserve">2010</w:t>
            </w:r>
          </w:p>
        </w:tc>
      </w:tr>
      <w:tr>
        <w:trPr/>
        <w:tc>
          <w:tcPr>
            <w:tcW w:w="5000" w:type="pct"/>
          </w:tcPr>
          <w:p>
            <w:pPr>
              <w:jc w:val="start"/>
            </w:pPr>
            <w:r>
              <w:rPr>
                <w:sz w:val="21"/>
                <w:szCs w:val="21"/>
              </w:rPr>
              <w:t xml:space="preserve">38037 Santa Cruz de La Palma</w:t>
            </w:r>
          </w:p>
        </w:tc>
        <w:tc>
          <w:tcPr>
            <w:tcW w:w="5000" w:type="pct"/>
          </w:tcPr>
          <w:p>
            <w:pPr>
              <w:jc w:val="center"/>
            </w:pPr>
            <w:r>
              <w:rPr>
                <w:sz w:val="21"/>
                <w:szCs w:val="21"/>
              </w:rPr>
              <w:t xml:space="preserve">15.690</w:t>
            </w:r>
          </w:p>
        </w:tc>
        <w:tc>
          <w:tcPr>
            <w:tcW w:w="5000" w:type="pct"/>
          </w:tcPr>
          <w:p>
            <w:pPr>
              <w:jc w:val="center"/>
            </w:pPr>
            <w:r>
              <w:rPr>
                <w:sz w:val="21"/>
                <w:szCs w:val="21"/>
              </w:rPr>
              <w:t xml:space="preserve">15.565</w:t>
            </w:r>
          </w:p>
        </w:tc>
        <w:tc>
          <w:tcPr>
            <w:tcW w:w="5000" w:type="pct"/>
          </w:tcPr>
          <w:p>
            <w:pPr>
              <w:jc w:val="center"/>
            </w:pPr>
            <w:r>
              <w:rPr>
                <w:sz w:val="21"/>
                <w:szCs w:val="21"/>
              </w:rPr>
              <w:t xml:space="preserve">15.441</w:t>
            </w:r>
          </w:p>
        </w:tc>
        <w:tc>
          <w:tcPr>
            <w:tcW w:w="5000" w:type="pct"/>
          </w:tcPr>
          <w:p>
            <w:pPr>
              <w:jc w:val="center"/>
            </w:pPr>
            <w:r>
              <w:rPr>
                <w:sz w:val="21"/>
                <w:szCs w:val="21"/>
              </w:rPr>
              <w:t xml:space="preserve">15.361</w:t>
            </w:r>
          </w:p>
        </w:tc>
        <w:tc>
          <w:tcPr>
            <w:tcW w:w="5000" w:type="pct"/>
          </w:tcPr>
          <w:p>
            <w:pPr>
              <w:jc w:val="center"/>
            </w:pPr>
            <w:r>
              <w:rPr>
                <w:sz w:val="21"/>
                <w:szCs w:val="21"/>
              </w:rPr>
              <w:t xml:space="preserve">15.446</w:t>
            </w:r>
          </w:p>
        </w:tc>
        <w:tc>
          <w:tcPr>
            <w:tcW w:w="5000" w:type="pct"/>
          </w:tcPr>
          <w:p>
            <w:pPr>
              <w:jc w:val="center"/>
            </w:pPr>
            <w:r>
              <w:rPr>
                <w:sz w:val="21"/>
                <w:szCs w:val="21"/>
              </w:rPr>
              <w:t xml:space="preserve">15.695</w:t>
            </w:r>
          </w:p>
        </w:tc>
        <w:tc>
          <w:tcPr>
            <w:tcW w:w="5000" w:type="pct"/>
          </w:tcPr>
          <w:p>
            <w:pPr>
              <w:jc w:val="center"/>
            </w:pPr>
            <w:r>
              <w:rPr>
                <w:sz w:val="21"/>
                <w:szCs w:val="21"/>
              </w:rPr>
              <w:t xml:space="preserve">15.716</w:t>
            </w:r>
          </w:p>
        </w:tc>
        <w:tc>
          <w:tcPr>
            <w:tcW w:w="5000" w:type="pct"/>
          </w:tcPr>
          <w:p>
            <w:pPr>
              <w:jc w:val="center"/>
            </w:pPr>
            <w:r>
              <w:rPr>
                <w:sz w:val="21"/>
                <w:szCs w:val="21"/>
              </w:rPr>
              <w:t xml:space="preserve">15.674</w:t>
            </w:r>
          </w:p>
        </w:tc>
        <w:tc>
          <w:tcPr>
            <w:tcW w:w="5000" w:type="pct"/>
          </w:tcPr>
          <w:p>
            <w:pPr>
              <w:jc w:val="center"/>
            </w:pPr>
            <w:r>
              <w:rPr>
                <w:sz w:val="21"/>
                <w:szCs w:val="21"/>
              </w:rPr>
              <w:t xml:space="preserve">15.581</w:t>
            </w:r>
          </w:p>
        </w:tc>
        <w:tc>
          <w:tcPr>
            <w:tcW w:w="5000" w:type="pct"/>
          </w:tcPr>
          <w:p>
            <w:pPr>
              <w:jc w:val="center"/>
            </w:pPr>
            <w:r>
              <w:rPr>
                <w:sz w:val="21"/>
                <w:szCs w:val="21"/>
              </w:rPr>
              <w:t xml:space="preserve">15.711</w:t>
            </w:r>
          </w:p>
        </w:tc>
        <w:tc>
          <w:tcPr>
            <w:tcW w:w="5000" w:type="pct"/>
          </w:tcPr>
          <w:p>
            <w:pPr>
              <w:jc w:val="center"/>
            </w:pPr>
            <w:r>
              <w:rPr>
                <w:sz w:val="21"/>
                <w:szCs w:val="21"/>
              </w:rPr>
              <w:t xml:space="preserve">15.900</w:t>
            </w:r>
          </w:p>
        </w:tc>
        <w:tc>
          <w:tcPr>
            <w:tcW w:w="5000" w:type="pct"/>
          </w:tcPr>
          <w:p>
            <w:pPr>
              <w:jc w:val="center"/>
            </w:pPr>
            <w:r>
              <w:rPr>
                <w:sz w:val="21"/>
                <w:szCs w:val="21"/>
              </w:rPr>
              <w:t xml:space="preserve">16.184</w:t>
            </w:r>
          </w:p>
        </w:tc>
        <w:tc>
          <w:tcPr>
            <w:tcW w:w="5000" w:type="pct"/>
          </w:tcPr>
          <w:p>
            <w:pPr>
              <w:jc w:val="center"/>
            </w:pPr>
            <w:r>
              <w:rPr>
                <w:sz w:val="21"/>
                <w:szCs w:val="21"/>
              </w:rPr>
              <w:t xml:space="preserve">16.330</w:t>
            </w:r>
          </w:p>
        </w:tc>
        <w:tc>
          <w:tcPr>
            <w:tcW w:w="5000" w:type="pct"/>
          </w:tcPr>
          <w:p>
            <w:pPr>
              <w:jc w:val="center"/>
            </w:pPr>
            <w:r>
              <w:rPr>
                <w:sz w:val="21"/>
                <w:szCs w:val="21"/>
              </w:rPr>
              <w:t xml:space="preserve">16.705</w:t>
            </w:r>
          </w:p>
        </w:tc>
        <w:tc>
          <w:tcPr>
            <w:tcW w:w="5000" w:type="pct"/>
          </w:tcPr>
          <w:p>
            <w:pPr>
              <w:jc w:val="center"/>
            </w:pPr>
            <w:r>
              <w:rPr>
                <w:sz w:val="21"/>
                <w:szCs w:val="21"/>
              </w:rPr>
              <w:t xml:space="preserve">16.924</w:t>
            </w:r>
          </w:p>
        </w:tc>
        <w:tc>
          <w:tcPr>
            <w:tcW w:w="5000" w:type="pct"/>
          </w:tcPr>
          <w:p>
            <w:pPr>
              <w:jc w:val="center"/>
            </w:pPr>
            <w:r>
              <w:rPr>
                <w:sz w:val="21"/>
                <w:szCs w:val="21"/>
              </w:rPr>
              <w:t xml:space="preserve">17.128</w:t>
            </w:r>
          </w:p>
        </w:tc>
      </w:tr>
    </w:tbl>
    <w:p>
      <w:pPr>
        <w:jc w:val="center"/>
        <w:spacing w:before="0" w:after="0"/>
      </w:pPr>
    </w:p>
    <w:p>
      <w:pPr>
        <w:pStyle w:val="Heading3"/>
      </w:pPr>
      <w:r>
        <w:rPr>
          <w:b w:val="1"/>
          <w:bCs w:val="1"/>
        </w:rPr>
        <w:t xml:space="preserve">Información cultural</w:t>
      </w:r>
    </w:p>
    <w:p>
      <w:pPr>
        <w:jc w:val="both"/>
        <w:spacing w:before="0" w:after="0" w:line="384" w:lineRule="auto"/>
      </w:pPr>
      <w:r>
        <w:rPr/>
        <w:t xml:space="preserve">La ciudad posee un rico patrimonio artístico de estilo renacentista, barroco y neoclásico, destacando en el plano arquitectónico el conjunto de la monumental plaza de España, con la iglesia Matriz de El Salvador, el edificio del Ayuntamiento, la fuente de piedra y varias casas nobles, que constituyen el principal ejemplo de arquitectura renacentista del Archipiélago. También es importante la Quinta Verde, el ejemplo más representativo en Canarias del tipo arquitectónico de quinta suburbana.</w:t>
      </w:r>
    </w:p>
    <w:p>
      <w:pPr>
        <w:jc w:val="both"/>
        <w:spacing w:before="0" w:after="0" w:line="384" w:lineRule="auto"/>
      </w:pPr>
      <w:r>
        <w:rPr/>
        <w:t xml:space="preserve">La arteria principal de la ciudad la componen las calles O'Daly y Anselmo Pérez de Brito, conocidas popularmente como la "Calle Real" tras la visita en 1906 de Alfonso XIII. Aquí encontramos una gran cantidad de inmuebles de gran interés: El Palacio Sotomayor con su fachada de piedra basáltica, La Casa Principal de Salazar con sus 4 pisos de balcones, el conjunto de la Plaza de España, la Sociedad La Investigadora, la Plaza del Borrero, la Acera Ancha, la Alameda y el Barco de la Virgen.</w:t>
      </w:r>
    </w:p>
    <w:p>
      <w:pPr>
        <w:jc w:val="both"/>
        <w:spacing w:before="0" w:after="0" w:line="384" w:lineRule="auto"/>
      </w:pPr>
      <w:r>
        <w:rPr/>
        <w:t xml:space="preserve">Igualmente destacados son los templos de San Francisco, con su antiguo convento dominico, hoy sede del Museo Insular, y el de Santo Domingo. También sobreviven algunas fortificaciones como el Castillo de Santa Catalina o el San Fernando. Sin embargo, una de las vistas más conocidas de Santa Cruz de La Palma es la Avenida Marítima y sus populares balcones de madera, que ofrecen la imagen más característica de la ciudad.</w:t>
      </w:r>
    </w:p>
    <w:p>
      <w:pPr>
        <w:jc w:val="both"/>
        <w:spacing w:before="0" w:after="0" w:line="384" w:lineRule="auto"/>
      </w:pPr>
      <w:r>
        <w:rPr/>
        <w:t xml:space="preserve">En el apartado artístico son notables las obras de arte (escultura y pintura, fundamentalmente) importadas de Flandes y América, en especial las de temática religiosa. La ciudad dispone de dos teatros: el Teatro Circo de Marte y el Teatro Chico.</w:t>
      </w:r>
    </w:p>
    <w:p>
      <w:pPr>
        <w:jc w:val="both"/>
        <w:spacing w:before="0" w:after="0" w:line="384" w:lineRule="auto"/>
      </w:pPr>
      <w:r>
        <w:rPr/>
        <w:t xml:space="preserve">Santa Cruz de La Palma cuenta con un rico calendario festivo, siendo su principal cita anual el Carnaval, con Los Indianos como punto culminante. Otra celebración a tener en cuenta es la Semana Santa, la única del Archipiélago que ha sido declarada Fiesta de Interés Turístico Regional. Las Fiestas de la Cruz se celebran el 3 de mayo, conmemorando la fundación de la ciudad, y se caracterizan por la antigua tradición de adornar las numerosas cruces que pueblan calles, plazas y rincones del municipio con los más variados motivos ornamentales, desde flores hasta lujosas joyas. A esta costumbre se unen otras como es la confección de “mayos”, peleles con cuerpo de madera y papel vestidos con ropas viejas, colocados en grupo para representar una escena costumbrista o un episodio local. Cada cinco años se celebran las Fiestas Lustrales de la Bajada de la Virgen de las Nieves, declaradas de Interés Turístico Nacional, en honor a la patrona de la isla. Las últimas se celebraron en julio de 2015 y la siguiente edición será en julio de 2020.</w:t>
      </w:r>
    </w:p>
    <w:p>
      <w:pPr>
        <w:jc w:val="both"/>
        <w:spacing w:before="0" w:after="0" w:line="384" w:lineRule="auto"/>
      </w:pPr>
      <w:r>
        <w:rPr/>
        <w:t xml:space="preserve">Un extenso programa de actos lúdicos y espectaculares llena las calles y plazas de la ciudad, en una celebración que reúne a palmeros llegados de todas las partes del mundo.</w:t>
      </w:r>
    </w:p>
    <w:p>
      <w:pPr>
        <w:jc w:val="both"/>
        <w:spacing w:before="0" w:after="0" w:line="384" w:lineRule="auto"/>
      </w:pPr>
      <w:r>
        <w:rPr/>
        <w:t xml:space="preserve">Destacan, entre los espectáculos y regocijos populares, la romería o bajada del trono de plata de la imagen por el camino real de El Planto; el desfile de Pandorgas: miles de farolillos de madera y papel de colores iluminados con velas; la danza de mascarones (también conocidos como gigantes y cabezudos); la Danza de Acróbatas, que simula el mundo de los ejercicios circenses; el Festival del siglo XVIII, danza que recrea la suntuosidad y elegancia del rococó dieciochesco; el Carro Alegórico y Triunfal, heredero de los autos sacramentales barrocos. La magia se reserva para el número por excelencia de las fiestas: la Danza de Enanos. Ante la atenta mirada de la concurrencia, un grupo de hombres ataviados en cada ocasión con una alegoría diferente (vikingos, cardenales, juglares, etc.) interpreta una danza inicial; en breves segundos, los hombres se transforman en diminutos enanos que bailan una coreografía trepidante. Finalmente la entrada de la Virgen en la ciudad, el segundo domingo del mes, se celebra con toda solemnidad con el concurso de diálogos, loas y liturgias. Tras poco menos de tres semanas en la Parroquia de El Salvador, la Virgen retorna el 5 de agosto a su Santuario del Monte.</w:t>
      </w:r>
    </w:p>
    <w:p>
      <w:pPr>
        <w:pStyle w:val="Heading3"/>
      </w:pPr>
      <w:r>
        <w:rPr>
          <w:b w:val="1"/>
          <w:bCs w:val="1"/>
        </w:rPr>
        <w:t xml:space="preserve">Información económica</w:t>
      </w:r>
    </w:p>
    <w:tbl>
      <w:tblGrid>
        <w:gridCol w:w="5000" w:type="dxa"/>
        <w:gridCol w:w="5000" w:type="dxa"/>
        <w:gridCol w:w="5000" w:type="dxa"/>
      </w:tblGrid>
      <w:tblPr>
        <w:tblW w:w="5000" w:type="pct"/>
        <w:tblLayout w:type="autofit"/>
        <w:bidiVisual w:val="0"/>
      </w:tblPr>
      <w:tr>
        <w:trPr>
          <w:tblHeader w:val="1"/>
        </w:trPr>
        <w:tc>
          <w:tcPr>
            <w:tcW w:w="5000" w:type="pct"/>
          </w:tcPr>
          <w:p>
            <w:pPr>
              <w:jc w:val="center"/>
            </w:pPr>
            <w:r>
              <w:rPr>
                <w:sz w:val="21"/>
                <w:szCs w:val="21"/>
                <w:b w:val="1"/>
                <w:bCs w:val="1"/>
              </w:rPr>
              <w:t xml:space="preserve">Año</w:t>
            </w:r>
          </w:p>
        </w:tc>
        <w:tc>
          <w:tcPr>
            <w:tcW w:w="5000" w:type="pct"/>
          </w:tcPr>
          <w:p>
            <w:pPr>
              <w:jc w:val="center"/>
            </w:pPr>
            <w:r>
              <w:rPr>
                <w:sz w:val="21"/>
                <w:szCs w:val="21"/>
                <w:b w:val="1"/>
                <w:bCs w:val="1"/>
              </w:rPr>
              <w:t xml:space="preserve">Importe en euros</w:t>
            </w:r>
          </w:p>
        </w:tc>
        <w:tc>
          <w:tcPr>
            <w:tcW w:w="5000" w:type="pct"/>
          </w:tcPr>
          <w:p>
            <w:pPr>
              <w:jc w:val="center"/>
            </w:pPr>
            <w:r>
              <w:rPr>
                <w:sz w:val="21"/>
                <w:szCs w:val="21"/>
                <w:b w:val="1"/>
                <w:bCs w:val="1"/>
              </w:rPr>
              <w:t xml:space="preserve">% Variación</w:t>
            </w:r>
          </w:p>
        </w:tc>
      </w:tr>
      <w:tr>
        <w:trPr/>
        <w:tc>
          <w:tcPr>
            <w:tcW w:w="5000" w:type="pct"/>
          </w:tcPr>
          <w:p>
            <w:pPr>
              <w:jc w:val="center"/>
            </w:pPr>
            <w:r>
              <w:rPr>
                <w:sz w:val="21"/>
                <w:szCs w:val="21"/>
              </w:rPr>
              <w:t xml:space="preserve">2026</w:t>
            </w:r>
          </w:p>
        </w:tc>
        <w:tc>
          <w:tcPr>
            <w:tcW w:w="5000" w:type="pct"/>
          </w:tcPr>
          <w:p>
            <w:pPr>
              <w:jc w:val="center"/>
            </w:pPr>
            <w:r>
              <w:rPr>
                <w:sz w:val="21"/>
                <w:szCs w:val="21"/>
              </w:rPr>
              <w:t xml:space="preserve">25.917.387,82</w:t>
            </w:r>
          </w:p>
        </w:tc>
        <w:tc>
          <w:tcPr>
            <w:tcW w:w="5000" w:type="pct"/>
          </w:tcPr>
          <w:p>
            <w:pPr>
              <w:jc w:val="center"/>
            </w:pPr>
            <w:r>
              <w:rPr>
                <w:sz w:val="21"/>
                <w:szCs w:val="21"/>
              </w:rPr>
              <w:t xml:space="preserve">-2,98 %</w:t>
            </w:r>
          </w:p>
        </w:tc>
      </w:tr>
      <w:tr>
        <w:trPr/>
        <w:tc>
          <w:tcPr>
            <w:tcW w:w="5000" w:type="pct"/>
          </w:tcPr>
          <w:p>
            <w:pPr>
              <w:jc w:val="center"/>
            </w:pPr>
            <w:r>
              <w:rPr>
                <w:sz w:val="21"/>
                <w:szCs w:val="21"/>
              </w:rPr>
              <w:t xml:space="preserve">2025</w:t>
            </w:r>
          </w:p>
        </w:tc>
        <w:tc>
          <w:tcPr>
            <w:tcW w:w="5000" w:type="pct"/>
          </w:tcPr>
          <w:p>
            <w:pPr>
              <w:jc w:val="center"/>
            </w:pPr>
            <w:r>
              <w:rPr>
                <w:sz w:val="21"/>
                <w:szCs w:val="21"/>
              </w:rPr>
              <w:t xml:space="preserve">26.712.308,75</w:t>
            </w:r>
          </w:p>
        </w:tc>
        <w:tc>
          <w:tcPr>
            <w:tcW w:w="5000" w:type="pct"/>
          </w:tcPr>
          <w:p>
            <w:pPr>
              <w:jc w:val="center"/>
            </w:pPr>
            <w:r>
              <w:rPr>
                <w:sz w:val="21"/>
                <w:szCs w:val="21"/>
              </w:rPr>
              <w:t xml:space="preserve">11,20 %</w:t>
            </w:r>
          </w:p>
        </w:tc>
      </w:tr>
      <w:tr>
        <w:trPr/>
        <w:tc>
          <w:tcPr>
            <w:tcW w:w="5000" w:type="pct"/>
          </w:tcPr>
          <w:p>
            <w:pPr>
              <w:jc w:val="center"/>
            </w:pPr>
            <w:r>
              <w:rPr>
                <w:sz w:val="21"/>
                <w:szCs w:val="21"/>
              </w:rPr>
              <w:t xml:space="preserve">2024</w:t>
            </w:r>
          </w:p>
        </w:tc>
        <w:tc>
          <w:tcPr>
            <w:tcW w:w="5000" w:type="pct"/>
          </w:tcPr>
          <w:p>
            <w:pPr>
              <w:jc w:val="center"/>
            </w:pPr>
            <w:r>
              <w:rPr>
                <w:sz w:val="21"/>
                <w:szCs w:val="21"/>
              </w:rPr>
              <w:t xml:space="preserve">24.022.729,41</w:t>
            </w:r>
          </w:p>
        </w:tc>
        <w:tc>
          <w:tcPr>
            <w:tcW w:w="5000" w:type="pct"/>
          </w:tcPr>
          <w:p>
            <w:pPr>
              <w:jc w:val="center"/>
            </w:pPr>
            <w:r>
              <w:rPr>
                <w:sz w:val="21"/>
                <w:szCs w:val="21"/>
              </w:rPr>
              <w:t xml:space="preserve">1,38 %</w:t>
            </w:r>
          </w:p>
        </w:tc>
      </w:tr>
      <w:tr>
        <w:trPr/>
        <w:tc>
          <w:tcPr>
            <w:tcW w:w="5000" w:type="pct"/>
          </w:tcPr>
          <w:p>
            <w:pPr>
              <w:jc w:val="center"/>
            </w:pPr>
            <w:r>
              <w:rPr>
                <w:sz w:val="21"/>
                <w:szCs w:val="21"/>
              </w:rPr>
              <w:t xml:space="preserve">2023</w:t>
            </w:r>
          </w:p>
        </w:tc>
        <w:tc>
          <w:tcPr>
            <w:tcW w:w="5000" w:type="pct"/>
          </w:tcPr>
          <w:p>
            <w:pPr>
              <w:jc w:val="center"/>
            </w:pPr>
            <w:r>
              <w:rPr>
                <w:sz w:val="21"/>
                <w:szCs w:val="21"/>
              </w:rPr>
              <w:t xml:space="preserve">23.696.411,61</w:t>
            </w:r>
          </w:p>
        </w:tc>
        <w:tc>
          <w:tcPr>
            <w:tcW w:w="5000" w:type="pct"/>
          </w:tcPr>
          <w:p>
            <w:pPr>
              <w:jc w:val="center"/>
            </w:pPr>
            <w:r>
              <w:rPr>
                <w:sz w:val="21"/>
                <w:szCs w:val="21"/>
              </w:rPr>
              <w:t xml:space="preserve">-7,55 %</w:t>
            </w:r>
          </w:p>
        </w:tc>
      </w:tr>
      <w:tr>
        <w:trPr/>
        <w:tc>
          <w:tcPr>
            <w:tcW w:w="5000" w:type="pct"/>
          </w:tcPr>
          <w:p>
            <w:pPr>
              <w:jc w:val="center"/>
            </w:pPr>
            <w:r>
              <w:rPr>
                <w:sz w:val="21"/>
                <w:szCs w:val="21"/>
              </w:rPr>
              <w:t xml:space="preserve">2022</w:t>
            </w:r>
          </w:p>
        </w:tc>
        <w:tc>
          <w:tcPr>
            <w:tcW w:w="5000" w:type="pct"/>
          </w:tcPr>
          <w:p>
            <w:pPr>
              <w:jc w:val="center"/>
            </w:pPr>
            <w:r>
              <w:rPr>
                <w:sz w:val="21"/>
                <w:szCs w:val="21"/>
              </w:rPr>
              <w:t xml:space="preserve">25.631.176,62</w:t>
            </w:r>
          </w:p>
        </w:tc>
        <w:tc>
          <w:tcPr>
            <w:tcW w:w="5000" w:type="pct"/>
          </w:tcPr>
          <w:p>
            <w:pPr>
              <w:jc w:val="center"/>
            </w:pPr>
            <w:r>
              <w:rPr>
                <w:sz w:val="21"/>
                <w:szCs w:val="21"/>
              </w:rPr>
              <w:t xml:space="preserve">25,58 %</w:t>
            </w:r>
          </w:p>
        </w:tc>
      </w:tr>
      <w:tr>
        <w:trPr/>
        <w:tc>
          <w:tcPr>
            <w:tcW w:w="5000" w:type="pct"/>
          </w:tcPr>
          <w:p>
            <w:pPr>
              <w:jc w:val="center"/>
            </w:pPr>
            <w:r>
              <w:rPr>
                <w:sz w:val="21"/>
                <w:szCs w:val="21"/>
              </w:rPr>
              <w:t xml:space="preserve">2021</w:t>
            </w:r>
          </w:p>
        </w:tc>
        <w:tc>
          <w:tcPr>
            <w:tcW w:w="5000" w:type="pct"/>
          </w:tcPr>
          <w:p>
            <w:pPr>
              <w:jc w:val="center"/>
            </w:pPr>
            <w:r>
              <w:rPr>
                <w:sz w:val="21"/>
                <w:szCs w:val="21"/>
              </w:rPr>
              <w:t xml:space="preserve">20.409.813,62</w:t>
            </w:r>
          </w:p>
        </w:tc>
        <w:tc>
          <w:tcPr>
            <w:tcW w:w="5000" w:type="pct"/>
          </w:tcPr>
          <w:p>
            <w:pPr>
              <w:jc w:val="center"/>
            </w:pPr>
            <w:r>
              <w:rPr>
                <w:sz w:val="21"/>
                <w:szCs w:val="21"/>
              </w:rPr>
              <w:t xml:space="preserve">6,89 %</w:t>
            </w:r>
          </w:p>
        </w:tc>
      </w:tr>
      <w:tr>
        <w:trPr/>
        <w:tc>
          <w:tcPr>
            <w:tcW w:w="5000" w:type="pct"/>
          </w:tcPr>
          <w:p>
            <w:pPr>
              <w:jc w:val="center"/>
            </w:pPr>
            <w:r>
              <w:rPr>
                <w:sz w:val="21"/>
                <w:szCs w:val="21"/>
              </w:rPr>
              <w:t xml:space="preserve">2020</w:t>
            </w:r>
          </w:p>
        </w:tc>
        <w:tc>
          <w:tcPr>
            <w:tcW w:w="5000" w:type="pct"/>
          </w:tcPr>
          <w:p>
            <w:pPr>
              <w:jc w:val="center"/>
            </w:pPr>
            <w:r>
              <w:rPr>
                <w:sz w:val="21"/>
                <w:szCs w:val="21"/>
              </w:rPr>
              <w:t xml:space="preserve">19.093.425,96</w:t>
            </w:r>
          </w:p>
        </w:tc>
        <w:tc>
          <w:tcPr>
            <w:tcW w:w="5000" w:type="pct"/>
          </w:tcPr>
          <w:p>
            <w:pPr>
              <w:jc w:val="center"/>
            </w:pPr>
            <w:r>
              <w:rPr>
                <w:sz w:val="21"/>
                <w:szCs w:val="21"/>
              </w:rPr>
              <w:t xml:space="preserve">7,99 %</w:t>
            </w:r>
          </w:p>
        </w:tc>
      </w:tr>
      <w:tr>
        <w:trPr/>
        <w:tc>
          <w:tcPr>
            <w:tcW w:w="5000" w:type="pct"/>
          </w:tcPr>
          <w:p>
            <w:pPr>
              <w:jc w:val="center"/>
            </w:pPr>
            <w:r>
              <w:rPr>
                <w:sz w:val="21"/>
                <w:szCs w:val="21"/>
              </w:rPr>
              <w:t xml:space="preserve">2019</w:t>
            </w:r>
          </w:p>
        </w:tc>
        <w:tc>
          <w:tcPr>
            <w:tcW w:w="5000" w:type="pct"/>
          </w:tcPr>
          <w:p>
            <w:pPr>
              <w:jc w:val="center"/>
            </w:pPr>
            <w:r>
              <w:rPr>
                <w:sz w:val="21"/>
                <w:szCs w:val="21"/>
              </w:rPr>
              <w:t xml:space="preserve">17.681.505,21</w:t>
            </w:r>
          </w:p>
        </w:tc>
        <w:tc>
          <w:tcPr>
            <w:tcW w:w="5000" w:type="pct"/>
          </w:tcPr>
          <w:p>
            <w:pPr>
              <w:jc w:val="center"/>
            </w:pPr>
            <w:r>
              <w:rPr>
                <w:sz w:val="21"/>
                <w:szCs w:val="21"/>
              </w:rPr>
              <w:t xml:space="preserve">2,26 %</w:t>
            </w:r>
          </w:p>
        </w:tc>
      </w:tr>
      <w:tr>
        <w:trPr/>
        <w:tc>
          <w:tcPr>
            <w:tcW w:w="5000" w:type="pct"/>
          </w:tcPr>
          <w:p>
            <w:pPr>
              <w:jc w:val="center"/>
            </w:pPr>
            <w:r>
              <w:rPr>
                <w:sz w:val="21"/>
                <w:szCs w:val="21"/>
              </w:rPr>
              <w:t xml:space="preserve">2018</w:t>
            </w:r>
          </w:p>
        </w:tc>
        <w:tc>
          <w:tcPr>
            <w:tcW w:w="5000" w:type="pct"/>
          </w:tcPr>
          <w:p>
            <w:pPr>
              <w:jc w:val="center"/>
            </w:pPr>
            <w:r>
              <w:rPr>
                <w:sz w:val="21"/>
                <w:szCs w:val="21"/>
              </w:rPr>
              <w:t xml:space="preserve">17.291.037,97</w:t>
            </w:r>
          </w:p>
        </w:tc>
        <w:tc>
          <w:tcPr>
            <w:tcW w:w="5000" w:type="pct"/>
          </w:tcPr>
          <w:p>
            <w:pPr>
              <w:jc w:val="center"/>
            </w:pPr>
            <w:r>
              <w:rPr>
                <w:sz w:val="21"/>
                <w:szCs w:val="21"/>
              </w:rPr>
              <w:t xml:space="preserve">-</w:t>
            </w:r>
          </w:p>
        </w:tc>
      </w:tr>
    </w:tbl>
    <w:p>
      <w:pPr>
        <w:jc w:val="both"/>
        <w:spacing w:before="0" w:after="0" w:line="384" w:lineRule="auto"/>
      </w:pPr>
      <w:r>
        <w:rPr/>
        <w:t xml:space="preserve">Para el ejercicio 2026 se ha presupuestado la cantidad de 25.917.387,82€, lo que supone una disminución, con respecto al ejercicio 2025, de -2,98%. Se debe tener en cuenta que los importes que se reflejan en la tabla anterior se refieren al PRESUPUESTO CONSOLIDADO, que está integrado por el Presupuesto del Ayuntamiento de Santa Cruz de La Palma y por el del Organismo Autónomo Local de la Bajada de la Virgen.</w:t>
      </w:r>
    </w:p>
    <w:p>
      <w:pPr>
        <w:jc w:val="both"/>
        <w:spacing w:before="0" w:after="0" w:line="384" w:lineRule="auto"/>
      </w:pPr>
      <w:r>
        <w:rPr/>
        <w:t xml:space="preserve">Este presupuesto se financia con unos ingresos que han sido calculados teniendo en cuenta la Liquidación de los Presupuestos de los años 2024 y la ejecución y estimación del 2025, y se ha utilizado como base del cálculo los ingresos que se tienen previsto recaudar fundamentalmente de ingresos propios, así como las transferencias previstas de otras Administraciones, principalmente del Cabildo Insular de La Palma y Comunidad Autónoma de Canarias.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56AC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2026-09-25T23:12:05+00:00</dcterms:created>
  <dcterms:modified xsi:type="dcterms:W3CDTF">2026-09-25T23:12:05+00:00</dcterms:modified>
</cp:coreProperties>
</file>

<file path=docProps/custom.xml><?xml version="1.0" encoding="utf-8"?>
<Properties xmlns="http://schemas.openxmlformats.org/officeDocument/2006/custom-properties" xmlns:vt="http://schemas.openxmlformats.org/officeDocument/2006/docPropsVTypes"/>
</file>