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 </w:t>
      </w:r>
    </w:p>
    <w:tbl>
      <w:tblGrid>
        <w:gridCol w:w="59100" w:type="dxa"/>
        <w:gridCol w:w="44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9100" w:type="pct"/>
          </w:tcPr>
          <w:p>
            <w:pPr>
              <w:jc w:val="center"/>
            </w:pPr>
            <w:r>
              <w:rPr/>
              <w:t xml:space="preserve">Legislación Estatal</w:t>
            </w:r>
          </w:p>
        </w:tc>
        <w:tc>
          <w:tcPr>
            <w:tcW w:w="440900" w:type="pct"/>
          </w:tcPr>
          <w:p>
            <w:pPr>
              <w:jc w:val="center"/>
            </w:pPr>
            <w:r>
              <w:rPr/>
              <w:t xml:space="preserve">BOE</w:t>
            </w: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Ley 7/1985, de 2 de abril, reguladora de las Bases de Régimen Local</w:t>
            </w:r>
          </w:p>
        </w:tc>
        <w:tc>
          <w:tcPr>
            <w:tcW w:w="44090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Real Decreto Legislativo 781/1986, de 18 de abril por el que se aprueba el Texto Refundido de las disposiciones legales vigentes en materia de Régimen Local</w:t>
            </w:r>
          </w:p>
        </w:tc>
        <w:tc>
          <w:tcPr>
            <w:tcW w:w="44090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Real Decreto 2568/1986, de 28 de noviembre, por el que se aprueba el Reglamento de Organización, Funcionamiento y Régimen Jurídico de las Entidades Locales</w:t>
            </w:r>
          </w:p>
        </w:tc>
        <w:tc>
          <w:tcPr>
            <w:tcW w:w="44090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Ley 39/2015, de 1 de octubre, del Procedimiento Administrativo Común de las Administraciones Públicas</w:t>
            </w:r>
          </w:p>
        </w:tc>
        <w:tc>
          <w:tcPr>
            <w:tcW w:w="44090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Ley 40/2015, de 1 de octubre, de Régimen Jurídico del Sector Público</w:t>
            </w:r>
          </w:p>
        </w:tc>
        <w:tc>
          <w:tcPr>
            <w:tcW w:w="44090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Ley 19/2013, de 9 de diciembre, de transparencia, acceso a la información pública y buen gobierno</w:t>
            </w:r>
          </w:p>
        </w:tc>
        <w:tc>
          <w:tcPr>
            <w:tcW w:w="44090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Real Decreto 203/2021, de 30 de marzo, por el que se aprueba el Reglamento de actuación y funcionamiento del sector público por medios electrónicos</w:t>
            </w:r>
          </w:p>
        </w:tc>
        <w:tc>
          <w:tcPr>
            <w:tcW w:w="4409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     </w:t>
      </w:r>
    </w:p>
    <w:tbl>
      <w:tblGrid>
        <w:gridCol w:w="59100" w:type="dxa"/>
        <w:gridCol w:w="44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9100" w:type="pct"/>
          </w:tcPr>
          <w:p>
            <w:pPr>
              <w:jc w:val="center"/>
            </w:pPr>
            <w:r>
              <w:rPr/>
              <w:t xml:space="preserve">Legislación Autonómica</w:t>
            </w:r>
          </w:p>
        </w:tc>
        <w:tc>
          <w:tcPr>
            <w:tcW w:w="440900" w:type="pct"/>
          </w:tcPr>
          <w:p>
            <w:pPr>
              <w:jc w:val="center"/>
            </w:pPr>
            <w:r>
              <w:rPr/>
              <w:t xml:space="preserve">BOE-BOC</w:t>
            </w: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Ley 7/2015, de 1 de abril, de los municipios de Canarias</w:t>
            </w:r>
          </w:p>
        </w:tc>
        <w:tc>
          <w:tcPr>
            <w:tcW w:w="44090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Ley 12/2014, de 26 de diciembre, de Transparencia, Acceso a la Información Pública</w:t>
            </w:r>
          </w:p>
        </w:tc>
        <w:tc>
          <w:tcPr>
            <w:tcW w:w="4409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2026-06-27T22:30:58+00:00</dcterms:created>
  <dcterms:modified xsi:type="dcterms:W3CDTF">2026-06-27T22:30:58+00:00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