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 </w:t>
      </w:r>
    </w:p>
    <w:tbl>
      <w:tblGrid>
        <w:gridCol w:w="59100" w:type="dxa"/>
        <w:gridCol w:w="44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>
              <w:jc w:val="center"/>
            </w:pPr>
            <w:r>
              <w:rPr/>
              <w:t xml:space="preserve">Legislación Estatal</w:t>
            </w:r>
          </w:p>
        </w:tc>
        <w:tc>
          <w:tcPr>
            <w:tcW w:w="440900" w:type="pct"/>
          </w:tcPr>
          <w:p>
            <w:pPr>
              <w:jc w:val="center"/>
            </w:pPr>
            <w:r>
              <w:rPr/>
              <w:t xml:space="preserve">BOE</w:t>
            </w: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7/1985, de 2 de abril, reguladora de las Bases de Régimen Local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Real Decreto Legislativo 781/1986, de 18 de abril por el que se aprueba el Texto Refundido de las disposiciones legales vigentes en materia de Régimen Local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Real Decreto 2568/1986, de 28 de noviembre, por el que se aprueba el Reglamento de Organización, Funcionamiento y Régimen Jurídico de las Entidades Locales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39/2015, de 1 de octubre, del Procedimiento Administrativo Común de las Administraciones Públicas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40/2015, de 1 de octubre, de Régimen Jurídico del Sector Público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Real Decreto 203/2021, de 30 de marzo, por el que se aprueba el Reglamento de actuación y funcionamiento del sector público por medios electrónicos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     </w:t>
      </w:r>
    </w:p>
    <w:tbl>
      <w:tblGrid>
        <w:gridCol w:w="59100" w:type="dxa"/>
        <w:gridCol w:w="44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>
              <w:jc w:val="center"/>
            </w:pPr>
            <w:r>
              <w:rPr/>
              <w:t xml:space="preserve">Legislación Autonómica</w:t>
            </w:r>
          </w:p>
        </w:tc>
        <w:tc>
          <w:tcPr>
            <w:tcW w:w="440900" w:type="pct"/>
          </w:tcPr>
          <w:p>
            <w:pPr>
              <w:jc w:val="center"/>
            </w:pPr>
            <w:r>
              <w:rPr/>
              <w:t xml:space="preserve">BOE-BOC</w:t>
            </w: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7/2015, de 1 de abril, de los municipios de Canarias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Ley 12/2014, de 26 de diciembre, de Transparencia, Acceso a la Información Pública</w:t>
            </w:r>
          </w:p>
        </w:tc>
        <w:tc>
          <w:tcPr>
            <w:tcW w:w="4409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2026-05-12T11:33:49+00:00</dcterms:created>
  <dcterms:modified xsi:type="dcterms:W3CDTF">2026-05-12T11:33:49+00:00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