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en los años </w:t>
      </w:r>
      <w:r>
        <w:rPr>
          <w:b w:val="1"/>
          <w:bCs w:val="1"/>
        </w:rPr>
        <w:t xml:space="preserve">2023, 2024</w:t>
      </w:r>
      <w:r>
        <w:rPr/>
        <w:t xml:space="preserve"> </w:t>
      </w:r>
      <w:r>
        <w:rPr>
          <w:b w:val="1"/>
          <w:bCs w:val="1"/>
        </w:rPr>
        <w:t xml:space="preserve">y 2025 no contó con compatibilidades,</w:t>
      </w:r>
      <w:r>
        <w:rPr/>
        <w:t xml:space="preserve">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Ausencia de Compatibilidades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2026-06-26T19:26:47+00:00</dcterms:created>
  <dcterms:modified xsi:type="dcterms:W3CDTF">2026-06-26T19:26:47+00:00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