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en el año </w:t>
      </w:r>
      <w:r>
        <w:rPr>
          <w:b w:val="1"/>
          <w:bCs w:val="1"/>
        </w:rPr>
        <w:t xml:space="preserve">2023, </w:t>
      </w:r>
      <w:r>
        <w:rPr>
          <w:b w:val="1"/>
          <w:bCs w:val="1"/>
        </w:rPr>
        <w:t xml:space="preserve">2024</w:t>
      </w:r>
      <w:r>
        <w:rPr/>
        <w:t xml:space="preserve"> Y 2025 </w:t>
      </w:r>
      <w:r>
        <w:rPr>
          <w:b w:val="1"/>
          <w:bCs w:val="1"/>
        </w:rPr>
        <w:t xml:space="preserve">no cuenta con indemnizaciones por abandono de los cargos,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2026-06-27T22:27:08+00:00</dcterms:created>
  <dcterms:modified xsi:type="dcterms:W3CDTF">2026-06-27T22:27:08+00:00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