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y de acceso a la información pública (Ley 12/2014, de 26 de diciembre), el Ayuntamiento de Santa Cruz de la Palma, pone en conocimiento de la ciudadanía del municipio y del público en general que en el año </w:t>
      </w:r>
      <w:r>
        <w:rPr>
          <w:b w:val="1"/>
          <w:bCs w:val="1"/>
        </w:rPr>
        <w:t xml:space="preserve">2023, </w:t>
      </w:r>
      <w:r>
        <w:rPr>
          <w:b w:val="1"/>
          <w:bCs w:val="1"/>
        </w:rPr>
        <w:t xml:space="preserve">2024</w:t>
      </w:r>
      <w:r>
        <w:rPr/>
        <w:t xml:space="preserve"> Y 2025 </w:t>
      </w:r>
      <w:r>
        <w:rPr>
          <w:b w:val="1"/>
          <w:bCs w:val="1"/>
        </w:rPr>
        <w:t xml:space="preserve">no cuenta con indemnizaciones por abandono de los cargos,</w:t>
      </w:r>
      <w:r>
        <w:rPr/>
        <w:t xml:space="preserve"> pudiendo utilizar la ciudadanía los medios legalmente establecidos para ejercer su derecho de acceso a la información pública.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2026-06-26T19:27:41+00:00</dcterms:created>
  <dcterms:modified xsi:type="dcterms:W3CDTF">2026-06-26T19:27:41+00:00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