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Plan General de Ordenación (PGO) ha sido </w:t>
      </w:r>
      <w:r>
        <w:rPr>
          <w:b w:val="1"/>
          <w:bCs w:val="1"/>
        </w:rPr>
        <w:t xml:space="preserve">aprobado definitivamente</w:t>
      </w:r>
      <w:r>
        <w:rPr/>
        <w:t xml:space="preserve"> de manera parcial con suspensión de la siguiente ordenación: - Ordenación de la AU – Abenguareme. - Suelos urbanizables afectados por la zona de influencia del dominio público marítimoterrestre.</w:t>
      </w:r>
    </w:p>
    <w:p>
      <w:pPr/>
      <w:r>
        <w:rPr/>
        <w:t xml:space="preserve">El acuerdo de aprobación y normativa ha sido publicada en el y en el </w:t>
      </w:r>
    </w:p>
    <w:p>
      <w:pPr/>
      <w:r>
        <w:rPr/>
        <w:t xml:space="preserve">Estamos trabajando en la publicación de todos los documentos en la sede electrónica, hasta tanto publicamos los ficheros completos de la documentación aprobada: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2026-08-11T11:26:43+00:00</dcterms:created>
  <dcterms:modified xsi:type="dcterms:W3CDTF">2026-08-11T11:26:43+00:00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