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2024 y 2025</w:t>
      </w:r>
      <w:r>
        <w:rPr/>
        <w:t xml:space="preserve">  </w:t>
      </w:r>
      <w:r>
        <w:rPr>
          <w:b w:val="1"/>
          <w:bCs w:val="1"/>
        </w:rPr>
        <w:t xml:space="preserve">no se han producido sentencias que afecten a la vigencia e interpretación de las normas dictadas por la entidad,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2026-05-12T12:32:11+00:00</dcterms:created>
  <dcterms:modified xsi:type="dcterms:W3CDTF">2026-05-12T12:32:11+00:00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