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diciembre), el Ayuntamiento de Santa Cruz de la Palma, pone en conocimiento de la ciudadanía del municipio y del público en general que en el año </w:t>
      </w:r>
      <w:r>
        <w:rPr>
          <w:b w:val="1"/>
          <w:bCs w:val="1"/>
        </w:rPr>
        <w:t xml:space="preserve">2023, 2024 y 2025</w:t>
      </w:r>
      <w:r>
        <w:rPr/>
        <w:t xml:space="preserve">  </w:t>
      </w:r>
      <w:r>
        <w:rPr>
          <w:b w:val="1"/>
          <w:bCs w:val="1"/>
        </w:rPr>
        <w:t xml:space="preserve">no se han producido sentencias que afecten a la vigencia e interpretación de las normas dictadas por la entidad,</w:t>
      </w:r>
      <w:r>
        <w:rPr/>
        <w:t xml:space="preserve"> pudiendo utilizar la ciudadanía los medios legalmente establecidos para ejercer su derecho de acceso a la información pública.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2026-09-25T23:11:35+00:00</dcterms:created>
  <dcterms:modified xsi:type="dcterms:W3CDTF">2026-09-25T23:11:35+00:00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