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el año </w:t>
      </w:r>
      <w:r>
        <w:rPr>
          <w:b w:val="1"/>
          <w:bCs w:val="1"/>
        </w:rPr>
        <w:t xml:space="preserve">2023, 2024 y 2025 </w:t>
      </w:r>
      <w:r>
        <w:rPr>
          <w:b w:val="1"/>
          <w:bCs w:val="1"/>
        </w:rPr>
        <w:t xml:space="preserve">no se han producido directrices, instrucciones, circulares o respuestas a consultas planteadas por particulares u otros órganos, que tengan incidencia en los ciudadanos, así como aquellas que supongan una interpretación del derecho o tengan efectos jurídicos,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2026-09-25T23:12:15+00:00</dcterms:created>
  <dcterms:modified xsi:type="dcterms:W3CDTF">2026-09-25T23:12:15+00:00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