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"Información estadística necesaria para valorar el grado de cumplimiento y calidad de los servicios públicos que sean de su competencia", el Ayuntamiento de Santa Cruz de la Palma, pone en conocimiento de la ciudadanía del municipio y del público en general, que esta administración, durante los ejercicios</w:t>
      </w:r>
      <w:r>
        <w:rPr>
          <w:b w:val="1"/>
          <w:bCs w:val="1"/>
        </w:rPr>
        <w:t xml:space="preserve"> 2021, 2022, 2023, 2024 y 2025 no</w:t>
      </w:r>
      <w:r>
        <w:rPr>
          <w:b w:val="1"/>
          <w:bCs w:val="1"/>
        </w:rPr>
        <w:t xml:space="preserve"> ha aplicado ningún  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2026-09-25T23:11:46+00:00</dcterms:created>
  <dcterms:modified xsi:type="dcterms:W3CDTF">2026-09-25T23:11:46+00:00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