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5850" w:type="dxa"/>
        <w:gridCol w:w="389900" w:type="dxa"/>
        <w:gridCol w:w="353700" w:type="dxa"/>
        <w:gridCol w:w="44450" w:type="dxa"/>
        <w:gridCol w:w="19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5850" w:type="pct"/>
          </w:tcPr>
          <w:p>
            <w:pPr/>
            <w:r>
              <w:rPr/>
              <w:t xml:space="preserve">Año</w:t>
            </w:r>
          </w:p>
        </w:tc>
        <w:tc>
          <w:tcPr>
            <w:tcW w:w="389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3700" w:type="pct"/>
          </w:tcPr>
          <w:p>
            <w:pPr/>
            <w:r>
              <w:rPr/>
              <w:t xml:space="preserve">Finalidad</w:t>
            </w:r>
          </w:p>
        </w:tc>
        <w:tc>
          <w:tcPr>
            <w:tcW w:w="44450" w:type="pct"/>
          </w:tcPr>
          <w:p>
            <w:pPr/>
            <w:r>
              <w:rPr/>
              <w:t xml:space="preserve">Fecha de Inicio</w:t>
            </w:r>
          </w:p>
        </w:tc>
        <w:tc>
          <w:tcPr>
            <w:tcW w:w="195100" w:type="pct"/>
          </w:tcPr>
          <w:p>
            <w:pPr/>
            <w:r>
              <w:rPr/>
              <w:t xml:space="preserve">Estado de Tramitación</w:t>
            </w:r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2025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el servicio de recogida, transporte y tratamiento de residuos domésticos municipales</w:t>
            </w:r>
          </w:p>
        </w:tc>
        <w:tc>
          <w:tcPr>
            <w:tcW w:w="44450" w:type="pct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2025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y fijar los criterios y procedimientos para la concesión de prestaciones para sostenimiento de necesidades básicas, inclusión social de personas, familias o colectivos, en situaciones de vulnerabilidad o fragilidad social, situaciones excepcionales o extraordinarias y puntuales, de urgencia o de emergencia social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2024</w:t>
            </w:r>
          </w:p>
        </w:tc>
        <w:tc>
          <w:tcPr>
            <w:tcW w:w="389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funcionamiento del Mercado Municipal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</w:p>
        </w:tc>
      </w:tr>
      <w:tr>
        <w:trPr/>
        <w:tc>
          <w:tcPr>
            <w:tcW w:w="465850" w:type="pct"/>
          </w:tcPr>
          <w:p>
            <w:pPr/>
            <w:r>
              <w:rPr/>
              <w:t xml:space="preserve">2023</w:t>
            </w:r>
          </w:p>
        </w:tc>
        <w:tc>
          <w:tcPr>
            <w:tcW w:w="389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353700" w:type="pct"/>
          </w:tcPr>
          <w:p>
            <w:pPr/>
            <w:r>
              <w:rPr/>
              <w:t xml:space="preserve">Regular las autorizaciones de uso y disfrute de los huertos municipales</w:t>
            </w:r>
          </w:p>
        </w:tc>
        <w:tc>
          <w:tcPr>
            <w:tcW w:w="44450" w:type="pct"/>
          </w:tcPr>
          <w:p>
            <w:pPr/>
          </w:p>
        </w:tc>
        <w:tc>
          <w:tcPr>
            <w:tcW w:w="195100" w:type="pct"/>
          </w:tcPr>
          <w:p>
            <w:pPr/>
            <w:r>
              <w:rPr/>
              <w:t xml:space="preserve">Aprobación Definitiva al no haber alegaciones</w:t>
            </w:r>
          </w:p>
        </w:tc>
      </w:tr>
    </w:tbl>
    <w:p>
      <w:pPr/>
      <w:r>
        <w:rPr/>
        <w:t xml:space="preserve"> 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Procedimientos de elaboración normativa (2017-2025)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2026-05-12T11:35:57+00:00</dcterms:created>
  <dcterms:modified xsi:type="dcterms:W3CDTF">2026-05-12T11:35:57+00:00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