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5850" w:type="dxa"/>
        <w:gridCol w:w="389900" w:type="dxa"/>
        <w:gridCol w:w="353700" w:type="dxa"/>
        <w:gridCol w:w="44450" w:type="dxa"/>
        <w:gridCol w:w="195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5850" w:type="pct"/>
          </w:tcPr>
          <w:p>
            <w:pPr/>
            <w:r>
              <w:rPr/>
              <w:t xml:space="preserve">Año</w:t>
            </w:r>
          </w:p>
        </w:tc>
        <w:tc>
          <w:tcPr>
            <w:tcW w:w="389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3700" w:type="pct"/>
          </w:tcPr>
          <w:p>
            <w:pPr/>
            <w:r>
              <w:rPr/>
              <w:t xml:space="preserve">Finalidad</w:t>
            </w:r>
          </w:p>
        </w:tc>
        <w:tc>
          <w:tcPr>
            <w:tcW w:w="44450" w:type="pct"/>
          </w:tcPr>
          <w:p>
            <w:pPr/>
            <w:r>
              <w:rPr/>
              <w:t xml:space="preserve">Fecha de Inicio</w:t>
            </w:r>
          </w:p>
        </w:tc>
        <w:tc>
          <w:tcPr>
            <w:tcW w:w="195100" w:type="pct"/>
          </w:tcPr>
          <w:p>
            <w:pPr/>
            <w:r>
              <w:rPr/>
              <w:t xml:space="preserve">Estado de Tramitación</w:t>
            </w:r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2025</w:t>
            </w:r>
          </w:p>
        </w:tc>
        <w:tc>
          <w:tcPr>
            <w:tcW w:w="3899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el servicio de recogida, transporte y tratamiento de residuos domésticos municipales</w:t>
            </w:r>
          </w:p>
        </w:tc>
        <w:tc>
          <w:tcPr>
            <w:tcW w:w="44450" w:type="pct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195100" w:type="pct"/>
          </w:tcPr>
          <w:p>
            <w:pPr/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2025</w:t>
            </w:r>
          </w:p>
        </w:tc>
        <w:tc>
          <w:tcPr>
            <w:tcW w:w="3899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y fijar los criterios y procedimientos para la concesión de prestaciones para sostenimiento de necesidades básicas, inclusión social de personas, familias o colectivos, en situaciones de vulnerabilidad o fragilidad social, situaciones excepcionales o extraordinarias y puntuales, de urgencia o de emergencia social</w:t>
            </w:r>
          </w:p>
        </w:tc>
        <w:tc>
          <w:tcPr>
            <w:tcW w:w="44450" w:type="pct"/>
          </w:tcPr>
          <w:p>
            <w:pPr/>
          </w:p>
        </w:tc>
        <w:tc>
          <w:tcPr>
            <w:tcW w:w="195100" w:type="pct"/>
          </w:tcPr>
          <w:p>
            <w:pPr/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2024</w:t>
            </w:r>
          </w:p>
        </w:tc>
        <w:tc>
          <w:tcPr>
            <w:tcW w:w="3899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funcionamiento del Mercado Municipal</w:t>
            </w:r>
          </w:p>
        </w:tc>
        <w:tc>
          <w:tcPr>
            <w:tcW w:w="44450" w:type="pct"/>
          </w:tcPr>
          <w:p>
            <w:pPr/>
          </w:p>
        </w:tc>
        <w:tc>
          <w:tcPr>
            <w:tcW w:w="195100" w:type="pct"/>
          </w:tcPr>
          <w:p>
            <w:pPr/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2023</w:t>
            </w:r>
          </w:p>
        </w:tc>
        <w:tc>
          <w:tcPr>
            <w:tcW w:w="3899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las autorizaciones de uso y disfrute de los huertos municipales</w:t>
            </w:r>
          </w:p>
        </w:tc>
        <w:tc>
          <w:tcPr>
            <w:tcW w:w="44450" w:type="pct"/>
          </w:tcPr>
          <w:p>
            <w:pPr/>
          </w:p>
        </w:tc>
        <w:tc>
          <w:tcPr>
            <w:tcW w:w="195100" w:type="pct"/>
          </w:tcPr>
          <w:p>
            <w:pPr/>
            <w:r>
              <w:rPr/>
              <w:t xml:space="preserve">Aprobación Definitiva al no haber alegaciones</w:t>
            </w:r>
          </w:p>
        </w:tc>
      </w:tr>
    </w:tbl>
    <w:p>
      <w:pPr/>
      <w:r>
        <w:rPr/>
        <w:t xml:space="preserve"> 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Procedimientos de elaboración normativa (2017-2025)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2026-09-25T23:12:14+00:00</dcterms:created>
  <dcterms:modified xsi:type="dcterms:W3CDTF">2026-09-25T23:12:14+00:00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