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949050" w:type="dxa"/>
        <w:gridCol w:w="2900" w:type="dxa"/>
        <w:gridCol w:w="266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490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66050" w:type="pct"/>
          </w:tcPr>
          <w:p>
            <w:pPr/>
            <w:r>
              <w:rPr/>
              <w:t xml:space="preserve">Texto del Proyecto Normativo</w:t>
            </w:r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 la Ordenanza Fiscal nº 6, reguladora de la tasa por la prestación del servicio de recogida, transporte y tratamiento de residuos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2025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 la Ordenanza Reguladora de la Concesión de Prestaciones Sociales Económicas del Excmo. Ayuntamiento de Santa Cruz de la Palma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2024</w:t>
            </w:r>
          </w:p>
        </w:tc>
        <w:tc>
          <w:tcPr>
            <w:tcW w:w="2900" w:type="pct"/>
          </w:tcPr>
          <w:p>
            <w:pPr/>
            <w:r>
              <w:rPr/>
              <w:t xml:space="preserve">Modificación del Reglamento de Régimen Interior del Mercado Municipal de Abastos de Santa Cruz de la Palma</w:t>
            </w:r>
          </w:p>
        </w:tc>
        <w:tc>
          <w:tcPr>
            <w:tcW w:w="266050" w:type="pct"/>
          </w:tcPr>
          <w:p>
            <w:pPr/>
          </w:p>
        </w:tc>
      </w:tr>
      <w:tr>
        <w:trPr/>
        <w:tc>
          <w:tcPr>
            <w:tcW w:w="4949050" w:type="pct"/>
          </w:tcPr>
          <w:p>
            <w:pPr/>
            <w:r>
              <w:rPr/>
              <w:t xml:space="preserve">2023</w:t>
            </w:r>
          </w:p>
        </w:tc>
        <w:tc>
          <w:tcPr>
            <w:tcW w:w="2900" w:type="pct"/>
          </w:tcPr>
          <w:p>
            <w:pPr/>
            <w:r>
              <w:rPr/>
              <w:t xml:space="preserve">Ordenanza Municipal Reguladora de Los Huertos Urbanos Municipales de Santa Cruz de la Palma</w:t>
            </w:r>
          </w:p>
        </w:tc>
        <w:tc>
          <w:tcPr>
            <w:tcW w:w="266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2026-05-12T11:34:52+00:00</dcterms:created>
  <dcterms:modified xsi:type="dcterms:W3CDTF">2026-05-12T11:34:52+00:00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