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NO SE HAN DADO AUDITORIAS DE LAS CUENTAS DE 2025.</w:t>
      </w:r>
    </w:p>
    <w:p>
      <w:pPr>
        <w:jc w:val="both"/>
      </w:pPr>
      <w:r>
        <w:rPr/>
        <w:t xml:space="preserve"> EL ÚLTIMO INFORME ES DEL AÑO 2023.</w:t>
      </w:r>
    </w:p>
    <w:p>
      <w:pPr>
        <w:jc w:val="both"/>
      </w:pPr>
      <w:r>
        <w:rPr/>
        <w:t xml:space="preserve"> </w:t>
      </w:r>
    </w:p>
    <w:tbl>
      <w:tblGrid>
        <w:gridCol w:w="167900" w:type="dxa"/>
        <w:gridCol w:w="409950" w:type="dxa"/>
        <w:gridCol w:w="46400" w:type="dxa"/>
        <w:gridCol w:w="46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80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9950" w:type="pct"/>
          </w:tcPr>
          <w:p>
            <w:pPr/>
            <w:r>
              <w:rPr/>
              <w:t xml:space="preserve">INFORME DEFINITIVO FISCALIZACION AUDIENCIA CUENTAS CUENTA GENERAL DEL EJERCICIO 2023</w:t>
            </w:r>
          </w:p>
        </w:tc>
        <w:tc>
          <w:tcPr>
            <w:tcW w:w="46400" w:type="pct"/>
          </w:tcPr>
          <w:p>
            <w:pPr/>
          </w:p>
        </w:tc>
        <w:tc>
          <w:tcPr>
            <w:tcW w:w="4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2026-06-27T22:28:01+00:00</dcterms:created>
  <dcterms:modified xsi:type="dcterms:W3CDTF">2026-06-27T22:28:01+00:00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